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BA5E" w14:textId="77777777" w:rsidR="00847F4B" w:rsidRPr="000056E3" w:rsidRDefault="00847F4B" w:rsidP="00847F4B">
      <w:pPr>
        <w:pStyle w:val="Overskrift1"/>
        <w:rPr>
          <w:sz w:val="28"/>
          <w:szCs w:val="28"/>
        </w:rPr>
      </w:pPr>
      <w:bookmarkStart w:id="0" w:name="_Toc102740731"/>
      <w:r w:rsidRPr="000056E3">
        <w:rPr>
          <w:color w:val="44546A" w:themeColor="text2"/>
          <w:sz w:val="28"/>
          <w:szCs w:val="28"/>
        </w:rPr>
        <w:t>Vedlegg 1: Tildelingskriterier ved valg av tilbud på rammeavtalene</w:t>
      </w:r>
      <w:bookmarkEnd w:id="0"/>
      <w:r w:rsidRPr="000056E3">
        <w:rPr>
          <w:color w:val="44546A" w:themeColor="text2"/>
          <w:sz w:val="28"/>
          <w:szCs w:val="28"/>
        </w:rPr>
        <w:t xml:space="preserve"> </w:t>
      </w:r>
    </w:p>
    <w:p w14:paraId="69E391A5" w14:textId="77777777" w:rsidR="00847F4B" w:rsidRPr="006C0AE6" w:rsidRDefault="00847F4B" w:rsidP="00847F4B"/>
    <w:p w14:paraId="5A575D8D" w14:textId="77777777" w:rsidR="00847F4B" w:rsidRDefault="00847F4B" w:rsidP="00847F4B">
      <w:r>
        <w:t xml:space="preserve">DFØ har inngått parallelle rammeavtaler om betalings- og kontoholdstjenester på grunnlag av hvilke tilbud som har det beste forholdet mellom pris eller kostnad og kvalitet. </w:t>
      </w:r>
    </w:p>
    <w:p w14:paraId="64ACD8AA" w14:textId="77777777" w:rsidR="00847F4B" w:rsidRDefault="00847F4B" w:rsidP="00847F4B"/>
    <w:p w14:paraId="5600E7EB" w14:textId="77777777" w:rsidR="00847F4B" w:rsidRDefault="00847F4B" w:rsidP="00847F4B">
      <w:r>
        <w:t>I konkurransegrunnlaget var det en rekke skal-krav til tjenester og produkter som skal inngå i rammeavtalene. Disse var utformet som minimumskrav, og har ikke vært tildelingskriterier.</w:t>
      </w:r>
    </w:p>
    <w:p w14:paraId="7BCE0D5E" w14:textId="77777777" w:rsidR="00847F4B" w:rsidRDefault="00847F4B" w:rsidP="00847F4B"/>
    <w:p w14:paraId="2AE3B7AD" w14:textId="77777777" w:rsidR="00847F4B" w:rsidRPr="00EA14BE" w:rsidRDefault="00847F4B" w:rsidP="00847F4B">
      <w:pPr>
        <w:spacing w:line="280" w:lineRule="atLeast"/>
        <w:rPr>
          <w:szCs w:val="20"/>
        </w:rPr>
      </w:pPr>
      <w:r>
        <w:rPr>
          <w:szCs w:val="20"/>
        </w:rPr>
        <w:t>I konkurransegrunnlaget var det også stilt en rekke b</w:t>
      </w:r>
      <w:r w:rsidRPr="00EA14BE">
        <w:rPr>
          <w:szCs w:val="20"/>
        </w:rPr>
        <w:t>ør-kravene</w:t>
      </w:r>
      <w:r>
        <w:rPr>
          <w:szCs w:val="20"/>
        </w:rPr>
        <w:t xml:space="preserve">. Bør- kravene </w:t>
      </w:r>
      <w:r w:rsidRPr="00EA14BE">
        <w:rPr>
          <w:szCs w:val="20"/>
        </w:rPr>
        <w:t xml:space="preserve">er statens ønsker til funksjonalitet utover skal-kravene. Dette kan være det staten samlet sett ønsker, eller eventuelt det en enkelt virksomhet eller noen virksomheter med særlige behov ønsker. </w:t>
      </w:r>
    </w:p>
    <w:p w14:paraId="7D0A2A4E" w14:textId="77777777" w:rsidR="00847F4B" w:rsidRDefault="00847F4B" w:rsidP="00847F4B"/>
    <w:p w14:paraId="0A05F6F6" w14:textId="77777777" w:rsidR="00847F4B" w:rsidRDefault="00847F4B" w:rsidP="00847F4B">
      <w:r>
        <w:t xml:space="preserve">Under enkelte punkter i konkurransegrunnlaget ble bankene bedt om å utdype sine svar. Dette gjaldt blant annet opplysninger om priser, gebyrer og tidsfrister, samt beskrivelse av enkelte løsninger og rutiner. </w:t>
      </w:r>
    </w:p>
    <w:p w14:paraId="21E00254" w14:textId="77777777" w:rsidR="00847F4B" w:rsidRDefault="00847F4B" w:rsidP="00847F4B">
      <w:pPr>
        <w:tabs>
          <w:tab w:val="left" w:pos="2987"/>
        </w:tabs>
        <w:rPr>
          <w:szCs w:val="20"/>
        </w:rPr>
      </w:pPr>
    </w:p>
    <w:p w14:paraId="29C60484" w14:textId="77777777" w:rsidR="00847F4B" w:rsidRDefault="00847F4B" w:rsidP="00847F4B">
      <w:pPr>
        <w:tabs>
          <w:tab w:val="left" w:pos="2987"/>
        </w:tabs>
      </w:pPr>
      <w:r w:rsidRPr="001F118C">
        <w:rPr>
          <w:szCs w:val="20"/>
        </w:rPr>
        <w:t xml:space="preserve">Bankens svar på bør-kravene, beskrivelser og utdypende svar </w:t>
      </w:r>
      <w:r>
        <w:rPr>
          <w:szCs w:val="20"/>
        </w:rPr>
        <w:t>er</w:t>
      </w:r>
      <w:r w:rsidRPr="001F118C">
        <w:rPr>
          <w:szCs w:val="20"/>
        </w:rPr>
        <w:t xml:space="preserve"> vurdert i henhold til tildelingskriteriene</w:t>
      </w:r>
      <w:r>
        <w:rPr>
          <w:szCs w:val="20"/>
        </w:rPr>
        <w:t xml:space="preserve"> med underliggende kriterier. </w:t>
      </w:r>
      <w:r w:rsidRPr="001F118C">
        <w:rPr>
          <w:szCs w:val="20"/>
        </w:rPr>
        <w:t>Tildelingskriteriene</w:t>
      </w:r>
      <w:r>
        <w:rPr>
          <w:szCs w:val="20"/>
        </w:rPr>
        <w:t xml:space="preserve"> med underliggende kriterier</w:t>
      </w:r>
      <w:r w:rsidRPr="001F118C">
        <w:rPr>
          <w:szCs w:val="20"/>
        </w:rPr>
        <w:t xml:space="preserve"> angir hvordan besvarelsen fra bankene vil bli vurdert</w:t>
      </w:r>
      <w:r>
        <w:rPr>
          <w:szCs w:val="20"/>
        </w:rPr>
        <w:t xml:space="preserve"> av DFØ</w:t>
      </w:r>
      <w:r w:rsidRPr="001F118C">
        <w:rPr>
          <w:szCs w:val="20"/>
        </w:rPr>
        <w:t>.</w:t>
      </w:r>
      <w:r>
        <w:tab/>
      </w:r>
    </w:p>
    <w:p w14:paraId="2CA8180B" w14:textId="77777777" w:rsidR="00847F4B" w:rsidRDefault="00847F4B" w:rsidP="00847F4B"/>
    <w:p w14:paraId="47AF1A8A" w14:textId="77777777" w:rsidR="00847F4B" w:rsidRPr="008B7DF7" w:rsidRDefault="00847F4B" w:rsidP="00847F4B">
      <w:pPr>
        <w:rPr>
          <w:szCs w:val="20"/>
          <w:lang w:eastAsia="en-US"/>
        </w:rPr>
      </w:pPr>
      <w:r w:rsidRPr="008B7DF7">
        <w:rPr>
          <w:szCs w:val="20"/>
          <w:lang w:eastAsia="en-US"/>
        </w:rPr>
        <w:t>Tildelingskriteriene</w:t>
      </w:r>
      <w:r>
        <w:rPr>
          <w:szCs w:val="20"/>
          <w:lang w:eastAsia="en-US"/>
        </w:rPr>
        <w:t xml:space="preserve"> med underliggende kriterier gjaldt</w:t>
      </w:r>
      <w:r w:rsidRPr="008B7DF7">
        <w:rPr>
          <w:szCs w:val="20"/>
          <w:lang w:eastAsia="en-US"/>
        </w:rPr>
        <w:t xml:space="preserve"> også for tilleggsavtalene for hhv. valutakontoer</w:t>
      </w:r>
      <w:r>
        <w:rPr>
          <w:szCs w:val="20"/>
          <w:lang w:eastAsia="en-US"/>
        </w:rPr>
        <w:t>,</w:t>
      </w:r>
      <w:r w:rsidRPr="008B7DF7">
        <w:rPr>
          <w:szCs w:val="20"/>
          <w:lang w:eastAsia="en-US"/>
        </w:rPr>
        <w:t xml:space="preserve"> utbetalinger knyttet til statslån</w:t>
      </w:r>
      <w:r>
        <w:rPr>
          <w:szCs w:val="20"/>
          <w:lang w:eastAsia="en-US"/>
        </w:rPr>
        <w:t xml:space="preserve"> og betalinger knyttet til rentebytteavtaler</w:t>
      </w:r>
      <w:r w:rsidRPr="008B7DF7">
        <w:rPr>
          <w:szCs w:val="20"/>
          <w:lang w:eastAsia="en-US"/>
        </w:rPr>
        <w:t>. Enkelte av de underliggende kriteriene</w:t>
      </w:r>
      <w:r>
        <w:rPr>
          <w:szCs w:val="20"/>
          <w:lang w:eastAsia="en-US"/>
        </w:rPr>
        <w:t xml:space="preserve"> gjaldt</w:t>
      </w:r>
      <w:r w:rsidRPr="008B7DF7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imidlertid </w:t>
      </w:r>
      <w:r w:rsidRPr="008B7DF7">
        <w:rPr>
          <w:szCs w:val="20"/>
          <w:lang w:eastAsia="en-US"/>
        </w:rPr>
        <w:t>kun for den enkelte tilleggsavtale.</w:t>
      </w:r>
      <w:r>
        <w:rPr>
          <w:szCs w:val="20"/>
          <w:lang w:eastAsia="en-US"/>
        </w:rPr>
        <w:t xml:space="preserve"> </w:t>
      </w:r>
    </w:p>
    <w:p w14:paraId="2399F0FC" w14:textId="77777777" w:rsidR="00847F4B" w:rsidRDefault="00847F4B" w:rsidP="00847F4B"/>
    <w:p w14:paraId="63BEA6A5" w14:textId="77777777" w:rsidR="00847F4B" w:rsidRDefault="00847F4B" w:rsidP="00847F4B">
      <w:r>
        <w:t xml:space="preserve">Følgende tildelingskriterier ble lagt til grunn av DFØ for henholdsvis rammeavtalen og tilleggsavtalen for valutakontoer: </w:t>
      </w:r>
    </w:p>
    <w:p w14:paraId="240C0380" w14:textId="77777777" w:rsidR="00847F4B" w:rsidRDefault="00847F4B" w:rsidP="00847F4B"/>
    <w:p w14:paraId="7BEF0D21" w14:textId="77777777" w:rsidR="00847F4B" w:rsidRPr="008B7DF7" w:rsidRDefault="00847F4B" w:rsidP="00847F4B">
      <w:pPr>
        <w:numPr>
          <w:ilvl w:val="0"/>
          <w:numId w:val="1"/>
        </w:numPr>
        <w:spacing w:after="200" w:line="276" w:lineRule="auto"/>
        <w:contextualSpacing/>
        <w:rPr>
          <w:szCs w:val="20"/>
        </w:rPr>
      </w:pPr>
      <w:r w:rsidRPr="008B7DF7">
        <w:rPr>
          <w:szCs w:val="20"/>
        </w:rPr>
        <w:t xml:space="preserve">Pris </w:t>
      </w:r>
      <w:r>
        <w:rPr>
          <w:szCs w:val="20"/>
        </w:rPr>
        <w:t>ble vektet</w:t>
      </w:r>
      <w:r w:rsidRPr="008B7DF7">
        <w:rPr>
          <w:szCs w:val="20"/>
        </w:rPr>
        <w:t xml:space="preserve"> med 60 % </w:t>
      </w:r>
    </w:p>
    <w:p w14:paraId="1CD79DB5" w14:textId="77777777" w:rsidR="00847F4B" w:rsidRPr="008B7DF7" w:rsidRDefault="00847F4B" w:rsidP="00847F4B">
      <w:pPr>
        <w:ind w:firstLine="708"/>
        <w:rPr>
          <w:szCs w:val="20"/>
        </w:rPr>
      </w:pPr>
      <w:r w:rsidRPr="008B7DF7">
        <w:rPr>
          <w:szCs w:val="20"/>
        </w:rPr>
        <w:t xml:space="preserve">De underliggende kriteriene for pris er angitt i </w:t>
      </w:r>
      <w:r>
        <w:rPr>
          <w:szCs w:val="20"/>
        </w:rPr>
        <w:t>tabell 1 og 2 under</w:t>
      </w:r>
    </w:p>
    <w:p w14:paraId="16C9DFD4" w14:textId="77777777" w:rsidR="00847F4B" w:rsidRDefault="00847F4B" w:rsidP="00847F4B">
      <w:pPr>
        <w:numPr>
          <w:ilvl w:val="0"/>
          <w:numId w:val="1"/>
        </w:numPr>
        <w:spacing w:after="200" w:line="276" w:lineRule="auto"/>
        <w:contextualSpacing/>
        <w:rPr>
          <w:szCs w:val="20"/>
        </w:rPr>
      </w:pPr>
      <w:r>
        <w:rPr>
          <w:szCs w:val="20"/>
        </w:rPr>
        <w:t>Kvalitet ble vektet</w:t>
      </w:r>
      <w:r w:rsidRPr="008B7DF7">
        <w:rPr>
          <w:szCs w:val="20"/>
        </w:rPr>
        <w:t xml:space="preserve"> med 40 %</w:t>
      </w:r>
    </w:p>
    <w:p w14:paraId="599C8EE6" w14:textId="77777777" w:rsidR="00847F4B" w:rsidRPr="00261AEE" w:rsidRDefault="00847F4B" w:rsidP="00847F4B">
      <w:pPr>
        <w:tabs>
          <w:tab w:val="left" w:pos="709"/>
        </w:tabs>
        <w:spacing w:after="200" w:line="276" w:lineRule="auto"/>
        <w:contextualSpacing/>
        <w:rPr>
          <w:szCs w:val="20"/>
        </w:rPr>
      </w:pPr>
      <w:r>
        <w:rPr>
          <w:szCs w:val="20"/>
        </w:rPr>
        <w:tab/>
      </w:r>
      <w:r w:rsidRPr="00AA1CA7">
        <w:rPr>
          <w:szCs w:val="20"/>
        </w:rPr>
        <w:t xml:space="preserve">De underliggende kriteriene for </w:t>
      </w:r>
      <w:r>
        <w:rPr>
          <w:szCs w:val="20"/>
        </w:rPr>
        <w:t>kvalitet</w:t>
      </w:r>
      <w:r w:rsidRPr="00AA1CA7">
        <w:rPr>
          <w:szCs w:val="20"/>
        </w:rPr>
        <w:t xml:space="preserve"> </w:t>
      </w:r>
      <w:r>
        <w:rPr>
          <w:szCs w:val="20"/>
        </w:rPr>
        <w:t>er angitt i tabell 3 og 4 under</w:t>
      </w:r>
    </w:p>
    <w:p w14:paraId="6622E0F3" w14:textId="77777777" w:rsidR="00847F4B" w:rsidRPr="00AA6DA4" w:rsidRDefault="00847F4B" w:rsidP="00847F4B"/>
    <w:p w14:paraId="631CAA7C" w14:textId="77777777" w:rsidR="00847F4B" w:rsidRPr="00AA6DA4" w:rsidRDefault="00847F4B" w:rsidP="00847F4B">
      <w:pPr>
        <w:spacing w:line="280" w:lineRule="atLeast"/>
      </w:pPr>
      <w:r>
        <w:t xml:space="preserve">Underliggende kriterier som er merket med * i tabell 3, er underliggende </w:t>
      </w:r>
      <w:r w:rsidRPr="00AA6DA4">
        <w:t xml:space="preserve">kriterier som er av overordnet karakter og </w:t>
      </w:r>
      <w:r>
        <w:t>som</w:t>
      </w:r>
      <w:r w:rsidRPr="00AA6DA4">
        <w:t xml:space="preserve"> ikke egnet for virksomhetene å benytte som underliggende kriterier i </w:t>
      </w:r>
      <w:proofErr w:type="spellStart"/>
      <w:r w:rsidRPr="00AA6DA4">
        <w:t>minikonkurransen</w:t>
      </w:r>
      <w:proofErr w:type="spellEnd"/>
      <w:r>
        <w:t xml:space="preserve">. Disse kriteriene er derfor ikke omfattet av evalueringsmodellen. </w:t>
      </w:r>
    </w:p>
    <w:p w14:paraId="5DC53993" w14:textId="77777777" w:rsidR="00847F4B" w:rsidRDefault="00847F4B" w:rsidP="00847F4B">
      <w:pPr>
        <w:spacing w:line="280" w:lineRule="atLeast"/>
        <w:rPr>
          <w:b/>
          <w:color w:val="3366FF"/>
          <w:sz w:val="28"/>
          <w:szCs w:val="28"/>
        </w:rPr>
      </w:pPr>
    </w:p>
    <w:p w14:paraId="723EB722" w14:textId="77777777" w:rsidR="00847F4B" w:rsidRPr="008B7DF7" w:rsidRDefault="00847F4B" w:rsidP="00847F4B">
      <w:pPr>
        <w:spacing w:line="280" w:lineRule="atLeast"/>
        <w:rPr>
          <w:b/>
          <w:szCs w:val="20"/>
          <w:lang w:eastAsia="en-US"/>
        </w:rPr>
      </w:pPr>
      <w:r w:rsidRPr="008B7DF7">
        <w:rPr>
          <w:b/>
          <w:szCs w:val="20"/>
          <w:lang w:eastAsia="en-US"/>
        </w:rPr>
        <w:t>Tabell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847F4B" w:rsidRPr="00185F59" w14:paraId="26E5DFA2" w14:textId="77777777" w:rsidTr="005C0CE4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6B04816B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>Underliggende kriterier for pris</w:t>
            </w:r>
            <w:r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847F4B" w:rsidRPr="00185F59" w14:paraId="16BA8611" w14:textId="77777777" w:rsidTr="005C0CE4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5BC103C5" w14:textId="77777777" w:rsidR="00847F4B" w:rsidRPr="00185F59" w:rsidRDefault="00847F4B" w:rsidP="00847F4B">
            <w:pPr>
              <w:numPr>
                <w:ilvl w:val="0"/>
                <w:numId w:val="3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sz w:val="22"/>
                <w:szCs w:val="20"/>
                <w:lang w:eastAsia="en-US"/>
              </w:rPr>
              <w:t>Transaksjonspriser, gebyrer og marginer</w:t>
            </w:r>
            <w:r>
              <w:rPr>
                <w:rFonts w:ascii="Calibri" w:eastAsia="Calibri" w:hAnsi="Calibri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847F4B" w:rsidRPr="00185F59" w14:paraId="1D584603" w14:textId="77777777" w:rsidTr="005C0CE4"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60A6D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sz w:val="22"/>
                <w:szCs w:val="20"/>
                <w:lang w:eastAsia="en-US"/>
              </w:rPr>
            </w:pPr>
          </w:p>
          <w:p w14:paraId="3EBABFAE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b/>
                <w:sz w:val="22"/>
                <w:szCs w:val="20"/>
                <w:lang w:eastAsia="en-US"/>
              </w:rPr>
            </w:pPr>
            <w:r w:rsidRPr="002C49C9">
              <w:rPr>
                <w:b/>
                <w:szCs w:val="20"/>
                <w:lang w:eastAsia="en-US"/>
              </w:rPr>
              <w:t>Tabell 2</w:t>
            </w:r>
          </w:p>
        </w:tc>
      </w:tr>
      <w:tr w:rsidR="00847F4B" w:rsidRPr="00185F59" w14:paraId="551C92BB" w14:textId="77777777" w:rsidTr="005C0CE4"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</w:tcPr>
          <w:p w14:paraId="5E82A5B9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>Underliggende kriterier for pris som</w:t>
            </w:r>
            <w:r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 xml:space="preserve"> </w:t>
            </w:r>
            <w:r w:rsidRPr="00185F59"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>kun gjelder tilleggsavtalen for valutakontoer</w:t>
            </w:r>
          </w:p>
        </w:tc>
      </w:tr>
      <w:tr w:rsidR="00847F4B" w:rsidRPr="00185F59" w14:paraId="659228DD" w14:textId="77777777" w:rsidTr="005C0CE4">
        <w:tc>
          <w:tcPr>
            <w:tcW w:w="7938" w:type="dxa"/>
            <w:shd w:val="clear" w:color="auto" w:fill="auto"/>
          </w:tcPr>
          <w:p w14:paraId="4435F8AF" w14:textId="77777777" w:rsidR="00847F4B" w:rsidRPr="00185F59" w:rsidRDefault="00847F4B" w:rsidP="00847F4B">
            <w:pPr>
              <w:numPr>
                <w:ilvl w:val="0"/>
                <w:numId w:val="4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sz w:val="22"/>
                <w:szCs w:val="20"/>
                <w:lang w:eastAsia="en-US"/>
              </w:rPr>
              <w:t>Transaksjonspriser</w:t>
            </w:r>
          </w:p>
        </w:tc>
      </w:tr>
      <w:tr w:rsidR="00847F4B" w:rsidRPr="00185F59" w14:paraId="5061D4D1" w14:textId="77777777" w:rsidTr="005C0CE4">
        <w:tc>
          <w:tcPr>
            <w:tcW w:w="7938" w:type="dxa"/>
            <w:shd w:val="clear" w:color="auto" w:fill="auto"/>
          </w:tcPr>
          <w:p w14:paraId="33369794" w14:textId="77777777" w:rsidR="00847F4B" w:rsidRPr="00185F59" w:rsidRDefault="00847F4B" w:rsidP="00847F4B">
            <w:pPr>
              <w:numPr>
                <w:ilvl w:val="0"/>
                <w:numId w:val="4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sz w:val="22"/>
                <w:szCs w:val="20"/>
                <w:lang w:eastAsia="en-US"/>
              </w:rPr>
              <w:t>Renteberegningsbetingelser</w:t>
            </w:r>
          </w:p>
        </w:tc>
      </w:tr>
    </w:tbl>
    <w:p w14:paraId="542E3DC7" w14:textId="77777777" w:rsidR="00847F4B" w:rsidRPr="00261AEE" w:rsidRDefault="00847F4B" w:rsidP="00847F4B">
      <w:pPr>
        <w:rPr>
          <w:szCs w:val="20"/>
          <w:lang w:eastAsia="en-US"/>
        </w:rPr>
      </w:pPr>
      <w:r>
        <w:rPr>
          <w:szCs w:val="20"/>
          <w:lang w:eastAsia="en-US"/>
        </w:rPr>
        <w:br w:type="page"/>
      </w:r>
    </w:p>
    <w:p w14:paraId="0D04CBB2" w14:textId="77777777" w:rsidR="00847F4B" w:rsidRPr="008B7DF7" w:rsidRDefault="00847F4B" w:rsidP="00847F4B">
      <w:pPr>
        <w:spacing w:line="280" w:lineRule="atLeast"/>
        <w:rPr>
          <w:b/>
          <w:szCs w:val="20"/>
          <w:lang w:eastAsia="en-US"/>
        </w:rPr>
      </w:pPr>
      <w:r w:rsidRPr="008B7DF7">
        <w:rPr>
          <w:b/>
          <w:szCs w:val="20"/>
          <w:lang w:eastAsia="en-US"/>
        </w:rPr>
        <w:lastRenderedPageBreak/>
        <w:t xml:space="preserve">Tabell </w:t>
      </w:r>
      <w:r>
        <w:rPr>
          <w:b/>
          <w:szCs w:val="20"/>
          <w:lang w:eastAsia="en-US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977"/>
      </w:tblGrid>
      <w:tr w:rsidR="00847F4B" w:rsidRPr="00DA7906" w14:paraId="013E7BB8" w14:textId="77777777" w:rsidTr="005C0CE4">
        <w:tc>
          <w:tcPr>
            <w:tcW w:w="5670" w:type="dxa"/>
            <w:shd w:val="clear" w:color="auto" w:fill="auto"/>
          </w:tcPr>
          <w:p w14:paraId="0C071B52" w14:textId="77777777" w:rsidR="00847F4B" w:rsidRPr="00DA7906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Underliggende kriterier for kvalitet </w:t>
            </w:r>
          </w:p>
        </w:tc>
        <w:tc>
          <w:tcPr>
            <w:tcW w:w="2977" w:type="dxa"/>
          </w:tcPr>
          <w:p w14:paraId="07AFE059" w14:textId="77777777" w:rsidR="00847F4B" w:rsidRPr="00DA7906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Bankenes løsninger er innarbeidet under følgende punkter i rammeavtalene</w:t>
            </w:r>
          </w:p>
        </w:tc>
      </w:tr>
      <w:tr w:rsidR="00847F4B" w:rsidRPr="00DA7906" w14:paraId="1CEAF092" w14:textId="77777777" w:rsidTr="005C0CE4">
        <w:tc>
          <w:tcPr>
            <w:tcW w:w="5670" w:type="dxa"/>
            <w:shd w:val="clear" w:color="auto" w:fill="auto"/>
          </w:tcPr>
          <w:p w14:paraId="551CFCF6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Behandling av innbetalingsløsninger utført på nettbaserte innbetalingsløsninger, app eller andre betalingsplattformer for belastning av betalers konto og godskrift av virksomhetens arbeidskonto</w:t>
            </w:r>
            <w:r w:rsidRPr="00DA7906">
              <w:rPr>
                <w:rStyle w:val="Fotnotereferanse"/>
                <w:rFonts w:ascii="Calibri" w:eastAsia="Calibri" w:hAnsi="Calibri"/>
                <w:sz w:val="22"/>
                <w:szCs w:val="22"/>
                <w:lang w:eastAsia="en-US"/>
              </w:rPr>
              <w:footnoteReference w:id="1"/>
            </w:r>
            <w:r w:rsidRPr="00DA7906">
              <w:rPr>
                <w:rStyle w:val="Fotnotereferanse"/>
                <w:rFonts w:ascii="Symbol" w:eastAsia="Symbol" w:hAnsi="Symbol" w:cs="Symbol"/>
                <w:sz w:val="22"/>
                <w:szCs w:val="22"/>
                <w:lang w:eastAsia="en-US"/>
              </w:rPr>
              <w:sym w:font="Symbol" w:char="F02A"/>
            </w:r>
          </w:p>
        </w:tc>
        <w:tc>
          <w:tcPr>
            <w:tcW w:w="2977" w:type="dxa"/>
          </w:tcPr>
          <w:p w14:paraId="54214F45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1, pkt. 1.1 (h)</w:t>
            </w:r>
          </w:p>
        </w:tc>
      </w:tr>
      <w:tr w:rsidR="00847F4B" w:rsidRPr="00DA7906" w14:paraId="4E69E18C" w14:textId="77777777" w:rsidTr="005C0CE4">
        <w:tc>
          <w:tcPr>
            <w:tcW w:w="5670" w:type="dxa"/>
            <w:shd w:val="clear" w:color="auto" w:fill="auto"/>
          </w:tcPr>
          <w:p w14:paraId="7C1BD718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Behandling av innbetalinger der betalingen initieres fra betalers bankkonto av tredjepart på vegne av betaler, det vil si ved bruk av såkalte </w:t>
            </w:r>
            <w:proofErr w:type="spellStart"/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betalingsfullmaktstjenester</w:t>
            </w:r>
            <w:proofErr w:type="spellEnd"/>
            <w:r w:rsidRPr="00DA7906">
              <w:rPr>
                <w:rStyle w:val="Fotnotereferanse"/>
                <w:rFonts w:ascii="Calibri" w:eastAsia="Calibri" w:hAnsi="Calibri"/>
                <w:sz w:val="22"/>
                <w:szCs w:val="22"/>
                <w:lang w:eastAsia="en-US"/>
              </w:rPr>
              <w:footnoteReference w:id="2"/>
            </w:r>
            <w:r w:rsidRPr="00DA7906">
              <w:rPr>
                <w:rStyle w:val="Fotnotereferanse"/>
                <w:rFonts w:ascii="Symbol" w:eastAsia="Symbol" w:hAnsi="Symbol" w:cs="Symbol"/>
                <w:sz w:val="22"/>
                <w:szCs w:val="22"/>
                <w:lang w:eastAsia="en-US"/>
              </w:rPr>
              <w:sym w:font="Symbol" w:char="F02A"/>
            </w:r>
          </w:p>
        </w:tc>
        <w:tc>
          <w:tcPr>
            <w:tcW w:w="2977" w:type="dxa"/>
          </w:tcPr>
          <w:p w14:paraId="5317AD8D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1, pkt. 1.1.(i)</w:t>
            </w:r>
          </w:p>
        </w:tc>
      </w:tr>
      <w:tr w:rsidR="00847F4B" w:rsidRPr="00DA7906" w14:paraId="66C34469" w14:textId="77777777" w:rsidTr="005C0CE4">
        <w:tc>
          <w:tcPr>
            <w:tcW w:w="5670" w:type="dxa"/>
            <w:shd w:val="clear" w:color="auto" w:fill="auto"/>
          </w:tcPr>
          <w:p w14:paraId="4EFEA435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Behandling av utenlandske sjekker (innbetalinger)</w:t>
            </w:r>
          </w:p>
        </w:tc>
        <w:tc>
          <w:tcPr>
            <w:tcW w:w="2977" w:type="dxa"/>
          </w:tcPr>
          <w:p w14:paraId="19EE51C2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2.1 og 3.1</w:t>
            </w:r>
          </w:p>
        </w:tc>
      </w:tr>
      <w:tr w:rsidR="00847F4B" w:rsidRPr="00DA7906" w14:paraId="501AD89E" w14:textId="77777777" w:rsidTr="005C0CE4">
        <w:tc>
          <w:tcPr>
            <w:tcW w:w="5670" w:type="dxa"/>
            <w:shd w:val="clear" w:color="auto" w:fill="auto"/>
          </w:tcPr>
          <w:p w14:paraId="6C244E2D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Selvbetjeningsløsning </w:t>
            </w:r>
            <w:r w:rsidRPr="00DA7906">
              <w:rPr>
                <w:rFonts w:ascii="Calibri" w:hAnsi="Calibri"/>
                <w:sz w:val="22"/>
                <w:szCs w:val="22"/>
              </w:rPr>
              <w:t>til å innhente ytterligere informasjon om en transaksjon</w:t>
            </w:r>
          </w:p>
        </w:tc>
        <w:tc>
          <w:tcPr>
            <w:tcW w:w="2977" w:type="dxa"/>
          </w:tcPr>
          <w:p w14:paraId="47D812FA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75CD9C3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2.2</w:t>
            </w:r>
          </w:p>
        </w:tc>
      </w:tr>
      <w:tr w:rsidR="00847F4B" w:rsidRPr="00DA7906" w14:paraId="7132B93D" w14:textId="77777777" w:rsidTr="005C0CE4">
        <w:tc>
          <w:tcPr>
            <w:tcW w:w="5670" w:type="dxa"/>
            <w:shd w:val="clear" w:color="auto" w:fill="auto"/>
          </w:tcPr>
          <w:p w14:paraId="30F509E1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Tidsfrister og behandlingstid </w:t>
            </w:r>
          </w:p>
        </w:tc>
        <w:tc>
          <w:tcPr>
            <w:tcW w:w="2977" w:type="dxa"/>
          </w:tcPr>
          <w:p w14:paraId="4388C678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3.1 og Vedlegg 10</w:t>
            </w:r>
          </w:p>
        </w:tc>
      </w:tr>
      <w:tr w:rsidR="00847F4B" w:rsidRPr="00DA7906" w14:paraId="3CD1E8EF" w14:textId="77777777" w:rsidTr="005C0CE4">
        <w:tc>
          <w:tcPr>
            <w:tcW w:w="5670" w:type="dxa"/>
            <w:shd w:val="clear" w:color="auto" w:fill="auto"/>
          </w:tcPr>
          <w:p w14:paraId="41F95C96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Utsendelse av særskilt utbetalingsmeldinger til utenlandske betalingsmottakere </w:t>
            </w:r>
          </w:p>
        </w:tc>
        <w:tc>
          <w:tcPr>
            <w:tcW w:w="2977" w:type="dxa"/>
          </w:tcPr>
          <w:p w14:paraId="1661B10C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3.2</w:t>
            </w:r>
          </w:p>
        </w:tc>
      </w:tr>
      <w:tr w:rsidR="00847F4B" w:rsidRPr="00DA7906" w14:paraId="1F78E7D2" w14:textId="77777777" w:rsidTr="005C0CE4">
        <w:tc>
          <w:tcPr>
            <w:tcW w:w="5670" w:type="dxa"/>
            <w:shd w:val="clear" w:color="auto" w:fill="auto"/>
          </w:tcPr>
          <w:p w14:paraId="5BE1EEEA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Tiltak for å redusere antall feilutbetalinger (KAR)</w:t>
            </w:r>
          </w:p>
        </w:tc>
        <w:tc>
          <w:tcPr>
            <w:tcW w:w="2977" w:type="dxa"/>
          </w:tcPr>
          <w:p w14:paraId="05977BE6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Vedlegg 9, pkt. 3.4</w:t>
            </w:r>
          </w:p>
        </w:tc>
      </w:tr>
      <w:tr w:rsidR="00847F4B" w:rsidRPr="00DA7906" w14:paraId="51516324" w14:textId="77777777" w:rsidTr="005C0CE4">
        <w:tc>
          <w:tcPr>
            <w:tcW w:w="5670" w:type="dxa"/>
            <w:shd w:val="clear" w:color="auto" w:fill="auto"/>
          </w:tcPr>
          <w:p w14:paraId="7C621EC7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Tiltak for å redusere antall feilutbetalinger til utlandet </w:t>
            </w:r>
          </w:p>
        </w:tc>
        <w:tc>
          <w:tcPr>
            <w:tcW w:w="2977" w:type="dxa"/>
          </w:tcPr>
          <w:p w14:paraId="5B43C109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3.5</w:t>
            </w:r>
          </w:p>
        </w:tc>
      </w:tr>
      <w:tr w:rsidR="00847F4B" w:rsidRPr="00DA7906" w14:paraId="10253FA7" w14:textId="77777777" w:rsidTr="005C0CE4">
        <w:tc>
          <w:tcPr>
            <w:tcW w:w="5670" w:type="dxa"/>
            <w:shd w:val="clear" w:color="auto" w:fill="auto"/>
          </w:tcPr>
          <w:p w14:paraId="3A5532FF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Beløpsgrense ved utbetalinger </w:t>
            </w:r>
          </w:p>
        </w:tc>
        <w:tc>
          <w:tcPr>
            <w:tcW w:w="2977" w:type="dxa"/>
          </w:tcPr>
          <w:p w14:paraId="71922F15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3.6</w:t>
            </w:r>
          </w:p>
        </w:tc>
      </w:tr>
      <w:tr w:rsidR="00847F4B" w:rsidRPr="00DA7906" w14:paraId="26FA9DE2" w14:textId="77777777" w:rsidTr="005C0CE4">
        <w:tc>
          <w:tcPr>
            <w:tcW w:w="5670" w:type="dxa"/>
            <w:shd w:val="clear" w:color="auto" w:fill="auto"/>
          </w:tcPr>
          <w:p w14:paraId="0007A970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Kontroll og autorisasjon av betalingsoppdrag; transaksjonene bør kunne vises i samme rekkefølge som de ble sent i betalingsoppdraget</w:t>
            </w:r>
          </w:p>
        </w:tc>
        <w:tc>
          <w:tcPr>
            <w:tcW w:w="2977" w:type="dxa"/>
          </w:tcPr>
          <w:p w14:paraId="40FBD0E7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78A15FF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77AA437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3.7</w:t>
            </w:r>
          </w:p>
        </w:tc>
      </w:tr>
      <w:tr w:rsidR="00847F4B" w:rsidRPr="00DA7906" w14:paraId="10827862" w14:textId="77777777" w:rsidTr="005C0CE4">
        <w:tc>
          <w:tcPr>
            <w:tcW w:w="5670" w:type="dxa"/>
            <w:shd w:val="clear" w:color="auto" w:fill="auto"/>
          </w:tcPr>
          <w:p w14:paraId="7787C103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Stopping av betalingsoppdrag, bør kunne gjennomføres av banken selv om betalingsoppdraget ikke er autorisert</w:t>
            </w:r>
          </w:p>
        </w:tc>
        <w:tc>
          <w:tcPr>
            <w:tcW w:w="2977" w:type="dxa"/>
          </w:tcPr>
          <w:p w14:paraId="2E048F18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FF2610F" w14:textId="77777777" w:rsidR="00847F4B" w:rsidRPr="00DA7906" w:rsidRDefault="00847F4B" w:rsidP="005C0CE4">
            <w:p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Vedlegg 9, pkt. 3.8</w:t>
            </w:r>
          </w:p>
        </w:tc>
      </w:tr>
      <w:tr w:rsidR="00847F4B" w:rsidRPr="00DA7906" w14:paraId="3831B027" w14:textId="77777777" w:rsidTr="005C0CE4">
        <w:tc>
          <w:tcPr>
            <w:tcW w:w="5670" w:type="dxa"/>
            <w:shd w:val="clear" w:color="auto" w:fill="auto"/>
          </w:tcPr>
          <w:p w14:paraId="78510BDC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Behandling av overføringer til gyldig, men opphørt konto</w:t>
            </w:r>
          </w:p>
        </w:tc>
        <w:tc>
          <w:tcPr>
            <w:tcW w:w="2977" w:type="dxa"/>
          </w:tcPr>
          <w:p w14:paraId="5840E2F8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C501B3C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3.9</w:t>
            </w:r>
          </w:p>
        </w:tc>
      </w:tr>
      <w:tr w:rsidR="00847F4B" w:rsidRPr="00DA7906" w14:paraId="58899E89" w14:textId="77777777" w:rsidTr="005C0CE4">
        <w:tc>
          <w:tcPr>
            <w:tcW w:w="5670" w:type="dxa"/>
            <w:shd w:val="clear" w:color="auto" w:fill="auto"/>
          </w:tcPr>
          <w:p w14:paraId="653F9C76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Kontoutskrift </w:t>
            </w:r>
          </w:p>
        </w:tc>
        <w:tc>
          <w:tcPr>
            <w:tcW w:w="2977" w:type="dxa"/>
          </w:tcPr>
          <w:p w14:paraId="546241F8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4.1</w:t>
            </w:r>
          </w:p>
        </w:tc>
      </w:tr>
      <w:tr w:rsidR="00847F4B" w:rsidRPr="00DA7906" w14:paraId="060B11C9" w14:textId="77777777" w:rsidTr="005C0CE4">
        <w:tc>
          <w:tcPr>
            <w:tcW w:w="5670" w:type="dxa"/>
            <w:shd w:val="clear" w:color="auto" w:fill="auto"/>
          </w:tcPr>
          <w:p w14:paraId="3293C6A3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Serviceapparat</w:t>
            </w:r>
          </w:p>
        </w:tc>
        <w:tc>
          <w:tcPr>
            <w:tcW w:w="2977" w:type="dxa"/>
          </w:tcPr>
          <w:p w14:paraId="6A381F06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5.1</w:t>
            </w:r>
          </w:p>
        </w:tc>
      </w:tr>
      <w:tr w:rsidR="00847F4B" w:rsidRPr="00DA7906" w14:paraId="5198EACB" w14:textId="77777777" w:rsidTr="005C0CE4">
        <w:tc>
          <w:tcPr>
            <w:tcW w:w="5670" w:type="dxa"/>
            <w:shd w:val="clear" w:color="auto" w:fill="auto"/>
          </w:tcPr>
          <w:p w14:paraId="71B5EF02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Sporing av utlandsbetalinger </w:t>
            </w:r>
          </w:p>
        </w:tc>
        <w:tc>
          <w:tcPr>
            <w:tcW w:w="2977" w:type="dxa"/>
          </w:tcPr>
          <w:p w14:paraId="6B9F1942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5.2</w:t>
            </w:r>
          </w:p>
        </w:tc>
      </w:tr>
      <w:tr w:rsidR="00847F4B" w:rsidRPr="00DA7906" w14:paraId="6ECA4C9B" w14:textId="77777777" w:rsidTr="005C0CE4">
        <w:tc>
          <w:tcPr>
            <w:tcW w:w="5670" w:type="dxa"/>
            <w:shd w:val="clear" w:color="auto" w:fill="auto"/>
          </w:tcPr>
          <w:p w14:paraId="72744449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Kontanthåndtering</w:t>
            </w:r>
          </w:p>
        </w:tc>
        <w:tc>
          <w:tcPr>
            <w:tcW w:w="2977" w:type="dxa"/>
          </w:tcPr>
          <w:p w14:paraId="716C9CDA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5.3</w:t>
            </w:r>
          </w:p>
        </w:tc>
      </w:tr>
      <w:tr w:rsidR="00847F4B" w:rsidRPr="00DA7906" w14:paraId="78D6CD27" w14:textId="77777777" w:rsidTr="005C0CE4">
        <w:tc>
          <w:tcPr>
            <w:tcW w:w="5670" w:type="dxa"/>
            <w:shd w:val="clear" w:color="auto" w:fill="auto"/>
          </w:tcPr>
          <w:p w14:paraId="61E9C86C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Organisatoriske endringer</w:t>
            </w:r>
          </w:p>
        </w:tc>
        <w:tc>
          <w:tcPr>
            <w:tcW w:w="2977" w:type="dxa"/>
          </w:tcPr>
          <w:p w14:paraId="60BAC9A6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5.4</w:t>
            </w:r>
          </w:p>
        </w:tc>
      </w:tr>
      <w:tr w:rsidR="00847F4B" w:rsidRPr="00DA7906" w14:paraId="27F4551D" w14:textId="77777777" w:rsidTr="005C0CE4">
        <w:tc>
          <w:tcPr>
            <w:tcW w:w="5670" w:type="dxa"/>
            <w:shd w:val="clear" w:color="auto" w:fill="auto"/>
          </w:tcPr>
          <w:p w14:paraId="638947ED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 xml:space="preserve">Kontinuerlig tilgjengelighet for systemer og rutiner for oppfølging ved avvik, feil eller forsinkelser </w:t>
            </w:r>
          </w:p>
        </w:tc>
        <w:tc>
          <w:tcPr>
            <w:tcW w:w="2977" w:type="dxa"/>
          </w:tcPr>
          <w:p w14:paraId="24994B8E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Vedlegg 9, pkt. 5.5</w:t>
            </w:r>
          </w:p>
        </w:tc>
      </w:tr>
      <w:tr w:rsidR="00847F4B" w:rsidRPr="00DA7906" w14:paraId="2D1BF71D" w14:textId="77777777" w:rsidTr="005C0CE4">
        <w:tc>
          <w:tcPr>
            <w:tcW w:w="5670" w:type="dxa"/>
            <w:shd w:val="clear" w:color="auto" w:fill="auto"/>
          </w:tcPr>
          <w:p w14:paraId="6371FACC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Testing</w:t>
            </w:r>
          </w:p>
        </w:tc>
        <w:tc>
          <w:tcPr>
            <w:tcW w:w="2977" w:type="dxa"/>
          </w:tcPr>
          <w:p w14:paraId="26AF45F8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9, pkt. 6</w:t>
            </w:r>
          </w:p>
        </w:tc>
      </w:tr>
      <w:tr w:rsidR="00847F4B" w:rsidRPr="00DA7906" w14:paraId="7C6CAB90" w14:textId="77777777" w:rsidTr="005C0CE4">
        <w:tc>
          <w:tcPr>
            <w:tcW w:w="5670" w:type="dxa"/>
            <w:shd w:val="clear" w:color="auto" w:fill="auto"/>
          </w:tcPr>
          <w:p w14:paraId="24E3D9F8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Bidrag til utvikling og samordning av Bits guideline med hensyn til ensartet bruk av ISO 20022 standarden</w:t>
            </w:r>
            <w:r w:rsidRPr="00DA7906">
              <w:rPr>
                <w:rStyle w:val="Fotnotereferanse"/>
                <w:rFonts w:ascii="Calibri" w:eastAsia="Calibri" w:hAnsi="Calibri"/>
                <w:sz w:val="22"/>
                <w:szCs w:val="22"/>
                <w:lang w:eastAsia="en-US"/>
              </w:rPr>
              <w:footnoteReference w:id="3"/>
            </w:r>
            <w:r w:rsidRPr="00DA7906">
              <w:rPr>
                <w:rStyle w:val="Fotnotereferanse"/>
                <w:rFonts w:ascii="Symbol" w:eastAsia="Symbol" w:hAnsi="Symbol" w:cs="Symbol"/>
                <w:sz w:val="22"/>
                <w:szCs w:val="22"/>
                <w:lang w:eastAsia="en-US"/>
              </w:rPr>
              <w:sym w:font="Symbol" w:char="F02A"/>
            </w:r>
          </w:p>
        </w:tc>
        <w:tc>
          <w:tcPr>
            <w:tcW w:w="2977" w:type="dxa"/>
          </w:tcPr>
          <w:p w14:paraId="542DCF0B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Vedlegg 6, pkt. 2.1</w:t>
            </w:r>
          </w:p>
        </w:tc>
      </w:tr>
      <w:tr w:rsidR="00847F4B" w:rsidRPr="00DA7906" w14:paraId="5E7E660E" w14:textId="77777777" w:rsidTr="005C0CE4">
        <w:tc>
          <w:tcPr>
            <w:tcW w:w="5670" w:type="dxa"/>
            <w:shd w:val="clear" w:color="auto" w:fill="auto"/>
          </w:tcPr>
          <w:p w14:paraId="6FFEB9F5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Informasjon om hvilke rapporter som kan hentes ut av nettbanken</w:t>
            </w:r>
          </w:p>
        </w:tc>
        <w:tc>
          <w:tcPr>
            <w:tcW w:w="2977" w:type="dxa"/>
          </w:tcPr>
          <w:p w14:paraId="1A30D595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Vedlegg 9, pkt. 7.1</w:t>
            </w:r>
          </w:p>
        </w:tc>
      </w:tr>
      <w:tr w:rsidR="00847F4B" w:rsidRPr="00DA7906" w14:paraId="7BFCB7BB" w14:textId="77777777" w:rsidTr="005C0CE4">
        <w:tc>
          <w:tcPr>
            <w:tcW w:w="5670" w:type="dxa"/>
            <w:shd w:val="clear" w:color="auto" w:fill="auto"/>
          </w:tcPr>
          <w:p w14:paraId="321E1861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 xml:space="preserve">Automatisk avlogging </w:t>
            </w:r>
          </w:p>
        </w:tc>
        <w:tc>
          <w:tcPr>
            <w:tcW w:w="2977" w:type="dxa"/>
          </w:tcPr>
          <w:p w14:paraId="479A0D4A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>Vedlegg 9, pkt. 7.2</w:t>
            </w:r>
          </w:p>
        </w:tc>
      </w:tr>
      <w:tr w:rsidR="00847F4B" w:rsidRPr="00DA7906" w14:paraId="1EF18A01" w14:textId="77777777" w:rsidTr="005C0CE4">
        <w:tc>
          <w:tcPr>
            <w:tcW w:w="5670" w:type="dxa"/>
            <w:shd w:val="clear" w:color="auto" w:fill="auto"/>
          </w:tcPr>
          <w:p w14:paraId="292177B2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hAnsi="Calibri"/>
                <w:sz w:val="22"/>
                <w:szCs w:val="22"/>
              </w:rPr>
              <w:t xml:space="preserve">Valutasorter </w:t>
            </w:r>
          </w:p>
        </w:tc>
        <w:tc>
          <w:tcPr>
            <w:tcW w:w="2977" w:type="dxa"/>
          </w:tcPr>
          <w:p w14:paraId="03F9BDC3" w14:textId="77777777" w:rsidR="00847F4B" w:rsidRPr="00DA7906" w:rsidRDefault="00847F4B" w:rsidP="005C0CE4">
            <w:pPr>
              <w:spacing w:line="28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DA7906">
              <w:rPr>
                <w:rFonts w:ascii="Calibri" w:hAnsi="Calibri"/>
                <w:sz w:val="22"/>
                <w:szCs w:val="22"/>
              </w:rPr>
              <w:t>Vedlegg 9, pkt. 8</w:t>
            </w:r>
          </w:p>
        </w:tc>
      </w:tr>
      <w:tr w:rsidR="00847F4B" w:rsidRPr="00DA7906" w14:paraId="1863C430" w14:textId="77777777" w:rsidTr="005C0CE4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34809A0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Særskilt avtale om transaksjons-gjennomføring ved store enkeltoppdrag i valuta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A620FB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94C1F91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Vedlegg 11, pkt. 5</w:t>
            </w:r>
          </w:p>
        </w:tc>
      </w:tr>
      <w:tr w:rsidR="00847F4B" w:rsidRPr="00DA7906" w14:paraId="4F62BCDD" w14:textId="77777777" w:rsidTr="005C0CE4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66A15FE" w14:textId="77777777" w:rsidR="00847F4B" w:rsidRPr="00DA7906" w:rsidRDefault="00847F4B" w:rsidP="00847F4B">
            <w:pPr>
              <w:numPr>
                <w:ilvl w:val="0"/>
                <w:numId w:val="5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Oversikt over Virksomhetenes valutaveksling </w:t>
            </w:r>
            <w:r w:rsidRPr="00DA7906">
              <w:rPr>
                <w:rStyle w:val="Fotnotereferanse"/>
                <w:rFonts w:ascii="Calibri" w:eastAsia="Calibri" w:hAnsi="Calibri"/>
                <w:sz w:val="22"/>
                <w:szCs w:val="22"/>
                <w:lang w:eastAsia="en-US"/>
              </w:rPr>
              <w:footnoteReference w:id="4"/>
            </w:r>
            <w:r w:rsidRPr="00DA7906">
              <w:rPr>
                <w:rStyle w:val="Fotnotereferanse"/>
                <w:rFonts w:ascii="Symbol" w:eastAsia="Symbol" w:hAnsi="Symbol" w:cs="Symbol"/>
                <w:sz w:val="22"/>
                <w:szCs w:val="22"/>
                <w:lang w:eastAsia="en-US"/>
              </w:rPr>
              <w:sym w:font="Symbol" w:char="F02A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DA7FB9" w14:textId="77777777" w:rsidR="00847F4B" w:rsidRPr="00DA7906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7906">
              <w:rPr>
                <w:rFonts w:ascii="Calibri" w:eastAsia="Calibri" w:hAnsi="Calibri"/>
                <w:sz w:val="22"/>
                <w:szCs w:val="22"/>
                <w:lang w:eastAsia="en-US"/>
              </w:rPr>
              <w:t>Rammeavtalens pkt. 16.4</w:t>
            </w:r>
          </w:p>
        </w:tc>
      </w:tr>
    </w:tbl>
    <w:p w14:paraId="19F4506A" w14:textId="77777777" w:rsidR="00847F4B" w:rsidRDefault="00847F4B" w:rsidP="00847F4B">
      <w:pPr>
        <w:pStyle w:val="Fotnotetekst"/>
      </w:pPr>
      <w:r w:rsidRPr="001A5A57">
        <w:rPr>
          <w:rStyle w:val="Fotnotereferanse"/>
          <w:rFonts w:ascii="Symbol" w:eastAsia="Symbol" w:hAnsi="Symbol" w:cs="Symbol"/>
          <w:sz w:val="18"/>
          <w:szCs w:val="18"/>
        </w:rPr>
        <w:sym w:font="Symbol" w:char="F02A"/>
      </w:r>
      <w:r w:rsidRPr="001A5A57">
        <w:rPr>
          <w:sz w:val="18"/>
          <w:szCs w:val="18"/>
        </w:rPr>
        <w:t xml:space="preserve"> Underliggende kriterier merket med * er kriterier som er av overordnet karakter og er derfor ikke egnet for</w:t>
      </w:r>
      <w:r>
        <w:t xml:space="preserve"> virksomhetene </w:t>
      </w:r>
      <w:r w:rsidRPr="001A5A57">
        <w:rPr>
          <w:sz w:val="18"/>
          <w:szCs w:val="18"/>
        </w:rPr>
        <w:t xml:space="preserve">å benytte som underliggende kriterier i </w:t>
      </w:r>
      <w:proofErr w:type="spellStart"/>
      <w:r w:rsidRPr="001A5A57">
        <w:rPr>
          <w:sz w:val="18"/>
          <w:szCs w:val="18"/>
        </w:rPr>
        <w:t>minikonkurransen</w:t>
      </w:r>
      <w:proofErr w:type="spellEnd"/>
    </w:p>
    <w:p w14:paraId="4CBDBC16" w14:textId="77777777" w:rsidR="00847F4B" w:rsidRDefault="00847F4B" w:rsidP="00847F4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E58012" w14:textId="77777777" w:rsidR="00847F4B" w:rsidRPr="008B7DF7" w:rsidRDefault="00847F4B" w:rsidP="00847F4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847F4B" w:rsidRPr="00185F59" w14:paraId="15C9635D" w14:textId="77777777" w:rsidTr="005C0CE4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EF17A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b/>
                <w:sz w:val="22"/>
                <w:szCs w:val="20"/>
                <w:lang w:eastAsia="en-US"/>
              </w:rPr>
            </w:pPr>
            <w:r w:rsidRPr="002C49C9">
              <w:rPr>
                <w:b/>
                <w:szCs w:val="20"/>
                <w:lang w:eastAsia="en-US"/>
              </w:rPr>
              <w:t xml:space="preserve">Tabell </w:t>
            </w:r>
            <w:r>
              <w:rPr>
                <w:b/>
                <w:szCs w:val="20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2C556" w14:textId="77777777" w:rsidR="00847F4B" w:rsidRPr="002C49C9" w:rsidRDefault="00847F4B" w:rsidP="005C0CE4">
            <w:pPr>
              <w:spacing w:line="280" w:lineRule="atLeast"/>
              <w:rPr>
                <w:b/>
                <w:szCs w:val="20"/>
                <w:lang w:eastAsia="en-US"/>
              </w:rPr>
            </w:pPr>
          </w:p>
        </w:tc>
      </w:tr>
      <w:tr w:rsidR="00847F4B" w:rsidRPr="00185F59" w14:paraId="0AF2BDD8" w14:textId="77777777" w:rsidTr="005C0CE4"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69F5A8A5" w14:textId="77777777" w:rsidR="00847F4B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>Underliggende kriterier for kvalitet som</w:t>
            </w:r>
            <w:r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 xml:space="preserve"> </w:t>
            </w:r>
            <w:r w:rsidRPr="00185F59"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 xml:space="preserve">kun gjelder for </w:t>
            </w:r>
          </w:p>
          <w:p w14:paraId="1053B52F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</w:pPr>
            <w:r w:rsidRPr="00185F59"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>tilleggsavtalen for valutakontoer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65A8D7C" w14:textId="77777777" w:rsidR="00847F4B" w:rsidRPr="00185F59" w:rsidRDefault="00847F4B" w:rsidP="005C0CE4">
            <w:pPr>
              <w:spacing w:line="280" w:lineRule="atLeast"/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</w:pPr>
            <w:r>
              <w:rPr>
                <w:rFonts w:ascii="Calibri" w:eastAsia="Calibri" w:hAnsi="Calibri"/>
                <w:i/>
                <w:sz w:val="22"/>
                <w:szCs w:val="20"/>
                <w:lang w:eastAsia="en-US"/>
              </w:rPr>
              <w:t>Bankenes løsninger er innarbeidet under følgende punkter i tilleggsavtalen</w:t>
            </w:r>
          </w:p>
        </w:tc>
      </w:tr>
      <w:tr w:rsidR="00847F4B" w:rsidRPr="00185F59" w14:paraId="6A84A671" w14:textId="77777777" w:rsidTr="005C0CE4">
        <w:tc>
          <w:tcPr>
            <w:tcW w:w="5387" w:type="dxa"/>
            <w:shd w:val="clear" w:color="auto" w:fill="auto"/>
          </w:tcPr>
          <w:p w14:paraId="1D69BB3F" w14:textId="77777777" w:rsidR="00847F4B" w:rsidRPr="00185F59" w:rsidRDefault="00847F4B" w:rsidP="00847F4B">
            <w:pPr>
              <w:numPr>
                <w:ilvl w:val="0"/>
                <w:numId w:val="2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85F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Kontohold </w:t>
            </w:r>
          </w:p>
        </w:tc>
        <w:tc>
          <w:tcPr>
            <w:tcW w:w="3260" w:type="dxa"/>
          </w:tcPr>
          <w:p w14:paraId="7C412711" w14:textId="77777777" w:rsidR="00847F4B" w:rsidRPr="00185F59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Pkt.4</w:t>
            </w:r>
          </w:p>
        </w:tc>
      </w:tr>
      <w:tr w:rsidR="00847F4B" w:rsidRPr="00185F59" w14:paraId="4FE3348F" w14:textId="77777777" w:rsidTr="005C0CE4">
        <w:tc>
          <w:tcPr>
            <w:tcW w:w="5387" w:type="dxa"/>
            <w:shd w:val="clear" w:color="auto" w:fill="auto"/>
          </w:tcPr>
          <w:p w14:paraId="7DF23336" w14:textId="77777777" w:rsidR="00847F4B" w:rsidRPr="00185F59" w:rsidRDefault="00847F4B" w:rsidP="00847F4B">
            <w:pPr>
              <w:numPr>
                <w:ilvl w:val="0"/>
                <w:numId w:val="2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85F59">
              <w:rPr>
                <w:rFonts w:ascii="Calibri" w:eastAsia="Calibri" w:hAnsi="Calibri"/>
                <w:sz w:val="22"/>
                <w:szCs w:val="22"/>
                <w:lang w:eastAsia="en-US"/>
              </w:rPr>
              <w:t>Innbetalinger</w:t>
            </w:r>
          </w:p>
        </w:tc>
        <w:tc>
          <w:tcPr>
            <w:tcW w:w="3260" w:type="dxa"/>
          </w:tcPr>
          <w:p w14:paraId="4FA3899D" w14:textId="77777777" w:rsidR="00847F4B" w:rsidRPr="00185F59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Pkt. 5</w:t>
            </w:r>
          </w:p>
        </w:tc>
      </w:tr>
      <w:tr w:rsidR="00847F4B" w:rsidRPr="00185F59" w14:paraId="194160B8" w14:textId="77777777" w:rsidTr="005C0CE4">
        <w:tc>
          <w:tcPr>
            <w:tcW w:w="5387" w:type="dxa"/>
            <w:shd w:val="clear" w:color="auto" w:fill="auto"/>
          </w:tcPr>
          <w:p w14:paraId="5A643AB3" w14:textId="77777777" w:rsidR="00847F4B" w:rsidRPr="00185F59" w:rsidRDefault="00847F4B" w:rsidP="00847F4B">
            <w:pPr>
              <w:numPr>
                <w:ilvl w:val="0"/>
                <w:numId w:val="2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85F59">
              <w:rPr>
                <w:rFonts w:ascii="Calibri" w:eastAsia="Calibri" w:hAnsi="Calibri"/>
                <w:sz w:val="22"/>
                <w:szCs w:val="22"/>
                <w:lang w:eastAsia="en-US"/>
              </w:rPr>
              <w:t>Utbetalinger</w:t>
            </w:r>
          </w:p>
        </w:tc>
        <w:tc>
          <w:tcPr>
            <w:tcW w:w="3260" w:type="dxa"/>
          </w:tcPr>
          <w:p w14:paraId="522CBC51" w14:textId="77777777" w:rsidR="00847F4B" w:rsidRPr="00185F59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Pkt. 6</w:t>
            </w:r>
          </w:p>
        </w:tc>
      </w:tr>
      <w:tr w:rsidR="00847F4B" w:rsidRPr="00185F59" w14:paraId="710AD98B" w14:textId="77777777" w:rsidTr="005C0CE4">
        <w:tc>
          <w:tcPr>
            <w:tcW w:w="5387" w:type="dxa"/>
            <w:shd w:val="clear" w:color="auto" w:fill="auto"/>
          </w:tcPr>
          <w:p w14:paraId="7C283EE5" w14:textId="77777777" w:rsidR="00847F4B" w:rsidRPr="00185F59" w:rsidRDefault="00847F4B" w:rsidP="00847F4B">
            <w:pPr>
              <w:numPr>
                <w:ilvl w:val="0"/>
                <w:numId w:val="2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konteringsregler og t</w:t>
            </w:r>
            <w:r w:rsidRPr="00185F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idsfrister </w:t>
            </w:r>
          </w:p>
        </w:tc>
        <w:tc>
          <w:tcPr>
            <w:tcW w:w="3260" w:type="dxa"/>
          </w:tcPr>
          <w:p w14:paraId="2F01BF0B" w14:textId="77777777" w:rsidR="00847F4B" w:rsidRPr="00185F59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Pkt. 7</w:t>
            </w:r>
          </w:p>
        </w:tc>
      </w:tr>
      <w:tr w:rsidR="00847F4B" w:rsidRPr="00185F59" w14:paraId="720BC060" w14:textId="77777777" w:rsidTr="005C0CE4">
        <w:tc>
          <w:tcPr>
            <w:tcW w:w="5387" w:type="dxa"/>
            <w:shd w:val="clear" w:color="auto" w:fill="auto"/>
          </w:tcPr>
          <w:p w14:paraId="48488D73" w14:textId="77777777" w:rsidR="00847F4B" w:rsidRDefault="00847F4B" w:rsidP="00847F4B">
            <w:pPr>
              <w:numPr>
                <w:ilvl w:val="0"/>
                <w:numId w:val="2"/>
              </w:numPr>
              <w:spacing w:line="280" w:lineRule="atLeast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Rapportering </w:t>
            </w:r>
          </w:p>
        </w:tc>
        <w:tc>
          <w:tcPr>
            <w:tcW w:w="3260" w:type="dxa"/>
          </w:tcPr>
          <w:p w14:paraId="22675A9B" w14:textId="77777777" w:rsidR="00847F4B" w:rsidRDefault="00847F4B" w:rsidP="005C0CE4">
            <w:pPr>
              <w:spacing w:line="280" w:lineRule="atLeast"/>
              <w:ind w:left="36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Pkt.10</w:t>
            </w:r>
          </w:p>
        </w:tc>
      </w:tr>
    </w:tbl>
    <w:p w14:paraId="3CA843A4" w14:textId="5396AD53" w:rsidR="007B1DD5" w:rsidRDefault="00847F4B"/>
    <w:sectPr w:rsidR="007B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A3E4" w14:textId="77777777" w:rsidR="00847F4B" w:rsidRDefault="00847F4B" w:rsidP="00847F4B">
      <w:r>
        <w:separator/>
      </w:r>
    </w:p>
  </w:endnote>
  <w:endnote w:type="continuationSeparator" w:id="0">
    <w:p w14:paraId="4C1BB50E" w14:textId="77777777" w:rsidR="00847F4B" w:rsidRDefault="00847F4B" w:rsidP="008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429" w14:textId="77777777" w:rsidR="00847F4B" w:rsidRDefault="00847F4B" w:rsidP="00847F4B">
      <w:r>
        <w:separator/>
      </w:r>
    </w:p>
  </w:footnote>
  <w:footnote w:type="continuationSeparator" w:id="0">
    <w:p w14:paraId="6AE7CCB3" w14:textId="77777777" w:rsidR="00847F4B" w:rsidRDefault="00847F4B" w:rsidP="00847F4B">
      <w:r>
        <w:continuationSeparator/>
      </w:r>
    </w:p>
  </w:footnote>
  <w:footnote w:id="1">
    <w:p w14:paraId="7B895533" w14:textId="77777777" w:rsidR="00847F4B" w:rsidRPr="001A5A57" w:rsidRDefault="00847F4B" w:rsidP="00847F4B">
      <w:pPr>
        <w:pStyle w:val="Fotnotetekst"/>
        <w:rPr>
          <w:sz w:val="18"/>
          <w:szCs w:val="18"/>
        </w:rPr>
      </w:pPr>
      <w:r w:rsidRPr="001A5A57">
        <w:rPr>
          <w:rStyle w:val="Fotnotereferanse"/>
          <w:rFonts w:ascii="Symbol" w:eastAsia="Symbol" w:hAnsi="Symbol" w:cs="Symbol"/>
          <w:sz w:val="18"/>
          <w:szCs w:val="18"/>
        </w:rPr>
        <w:t>*</w:t>
      </w:r>
      <w:r w:rsidRPr="001A5A57">
        <w:rPr>
          <w:sz w:val="18"/>
          <w:szCs w:val="18"/>
        </w:rPr>
        <w:t xml:space="preserve"> Underliggende kriterier merket med * er kriterier som er av overordnet karakter og er derfor ikke egnet for virksomhetene å benytte som underliggende kriterier i </w:t>
      </w:r>
      <w:proofErr w:type="spellStart"/>
      <w:r w:rsidRPr="001A5A57">
        <w:rPr>
          <w:sz w:val="18"/>
          <w:szCs w:val="18"/>
        </w:rPr>
        <w:t>minikonkurransen</w:t>
      </w:r>
      <w:proofErr w:type="spellEnd"/>
    </w:p>
  </w:footnote>
  <w:footnote w:id="2">
    <w:p w14:paraId="5E968A99" w14:textId="77777777" w:rsidR="00847F4B" w:rsidRDefault="00847F4B" w:rsidP="00847F4B">
      <w:pPr>
        <w:pStyle w:val="Fotnotetekst"/>
      </w:pPr>
    </w:p>
  </w:footnote>
  <w:footnote w:id="3">
    <w:p w14:paraId="50500033" w14:textId="77777777" w:rsidR="00847F4B" w:rsidRDefault="00847F4B" w:rsidP="00847F4B">
      <w:pPr>
        <w:pStyle w:val="Fotnotetekst"/>
      </w:pPr>
    </w:p>
  </w:footnote>
  <w:footnote w:id="4">
    <w:p w14:paraId="28247E98" w14:textId="77777777" w:rsidR="00847F4B" w:rsidRDefault="00847F4B" w:rsidP="00847F4B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7026"/>
    <w:multiLevelType w:val="multilevel"/>
    <w:tmpl w:val="E092C9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0B3E93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02137"/>
    <w:multiLevelType w:val="hybridMultilevel"/>
    <w:tmpl w:val="5B2876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D65AB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DA7482"/>
    <w:multiLevelType w:val="hybridMultilevel"/>
    <w:tmpl w:val="4DEA67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636731">
    <w:abstractNumId w:val="0"/>
  </w:num>
  <w:num w:numId="2" w16cid:durableId="989557656">
    <w:abstractNumId w:val="4"/>
  </w:num>
  <w:num w:numId="3" w16cid:durableId="1862745635">
    <w:abstractNumId w:val="2"/>
  </w:num>
  <w:num w:numId="4" w16cid:durableId="102727594">
    <w:abstractNumId w:val="1"/>
  </w:num>
  <w:num w:numId="5" w16cid:durableId="192355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4B"/>
    <w:rsid w:val="0060210D"/>
    <w:rsid w:val="00713D29"/>
    <w:rsid w:val="008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7E1F1"/>
  <w15:chartTrackingRefBased/>
  <w15:docId w15:val="{5C3C089D-69AB-4A88-92A1-B277EBE5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847F4B"/>
    <w:pPr>
      <w:keepNext/>
      <w:spacing w:before="240" w:after="60"/>
      <w:outlineLvl w:val="0"/>
    </w:pPr>
    <w:rPr>
      <w:rFonts w:cs="Arial"/>
      <w:b/>
      <w:bCs/>
      <w:color w:val="1F497D"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47F4B"/>
    <w:rPr>
      <w:rFonts w:ascii="Times New Roman" w:eastAsia="Times New Roman" w:hAnsi="Times New Roman" w:cs="Arial"/>
      <w:b/>
      <w:bCs/>
      <w:color w:val="1F497D"/>
      <w:kern w:val="32"/>
      <w:sz w:val="32"/>
      <w:szCs w:val="32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rsid w:val="00847F4B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47F4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rsid w:val="00847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4252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Langeland</dc:creator>
  <cp:keywords/>
  <dc:description/>
  <cp:lastModifiedBy>Ragnhild Langeland</cp:lastModifiedBy>
  <cp:revision>1</cp:revision>
  <dcterms:created xsi:type="dcterms:W3CDTF">2022-05-19T11:18:00Z</dcterms:created>
  <dcterms:modified xsi:type="dcterms:W3CDTF">2022-05-19T11:25:00Z</dcterms:modified>
</cp:coreProperties>
</file>